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0"/>
      </w:tblGrid>
      <w:tr w:rsidR="0064318B" w:rsidRPr="0064318B" w:rsidTr="00616C0A">
        <w:tc>
          <w:tcPr>
            <w:tcW w:w="3960" w:type="dxa"/>
          </w:tcPr>
          <w:p w:rsidR="0064318B" w:rsidRPr="0064318B" w:rsidRDefault="0064318B" w:rsidP="0064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hr-HR"/>
              </w:rPr>
            </w:pPr>
            <w:r w:rsidRPr="0064318B">
              <w:rPr>
                <w:rFonts w:ascii="Times New Roman" w:eastAsia="Times New Roman" w:hAnsi="Times New Roman" w:cs="Times New Roman"/>
                <w:noProof/>
                <w:sz w:val="20"/>
                <w:szCs w:val="24"/>
                <w:lang w:eastAsia="hr-HR"/>
              </w:rPr>
              <w:drawing>
                <wp:inline distT="0" distB="0" distL="0" distR="0">
                  <wp:extent cx="342900" cy="434340"/>
                  <wp:effectExtent l="0" t="0" r="0" b="381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434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318B" w:rsidRPr="0064318B" w:rsidTr="00616C0A">
        <w:tc>
          <w:tcPr>
            <w:tcW w:w="3960" w:type="dxa"/>
          </w:tcPr>
          <w:p w:rsidR="0064318B" w:rsidRPr="0064318B" w:rsidRDefault="0064318B" w:rsidP="0064318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hr-HR"/>
              </w:rPr>
            </w:pPr>
          </w:p>
          <w:p w:rsidR="0064318B" w:rsidRPr="0064318B" w:rsidRDefault="0064318B" w:rsidP="0064318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64318B">
              <w:rPr>
                <w:rFonts w:ascii="Times New Roman" w:eastAsia="Times New Roman" w:hAnsi="Times New Roman" w:cs="Times New Roman"/>
                <w:b/>
                <w:lang w:eastAsia="hr-HR"/>
              </w:rPr>
              <w:t>REPUBLIKA HRVATSKA</w:t>
            </w:r>
          </w:p>
          <w:p w:rsidR="0064318B" w:rsidRPr="0064318B" w:rsidRDefault="0064318B" w:rsidP="0064318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64318B">
              <w:rPr>
                <w:rFonts w:ascii="Times New Roman" w:eastAsia="Times New Roman" w:hAnsi="Times New Roman" w:cs="Times New Roman"/>
                <w:b/>
                <w:lang w:eastAsia="hr-HR"/>
              </w:rPr>
              <w:t>ZAGREBAČKA ŽUPANIJA</w:t>
            </w:r>
          </w:p>
          <w:p w:rsidR="0064318B" w:rsidRPr="0064318B" w:rsidRDefault="0064318B" w:rsidP="0064318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64318B">
              <w:rPr>
                <w:rFonts w:ascii="Times New Roman" w:eastAsia="Times New Roman" w:hAnsi="Times New Roman" w:cs="Times New Roman"/>
                <w:b/>
                <w:lang w:eastAsia="hr-HR"/>
              </w:rPr>
              <w:t>GRAD VELIKA GORICA</w:t>
            </w:r>
          </w:p>
          <w:p w:rsidR="0064318B" w:rsidRPr="0064318B" w:rsidRDefault="0064318B" w:rsidP="0064318B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hr-HR"/>
              </w:rPr>
            </w:pPr>
            <w:r w:rsidRPr="0064318B">
              <w:rPr>
                <w:rFonts w:ascii="Times New Roman" w:eastAsia="Times New Roman" w:hAnsi="Times New Roman" w:cs="Times New Roman"/>
                <w:b/>
                <w:lang w:eastAsia="hr-HR"/>
              </w:rPr>
              <w:t>GRADONAČELNIK</w:t>
            </w:r>
          </w:p>
          <w:p w:rsidR="0064318B" w:rsidRPr="0064318B" w:rsidRDefault="0064318B" w:rsidP="00643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hr-HR"/>
              </w:rPr>
            </w:pPr>
          </w:p>
        </w:tc>
      </w:tr>
    </w:tbl>
    <w:p w:rsidR="0064318B" w:rsidRPr="0064318B" w:rsidRDefault="0064318B" w:rsidP="0064318B">
      <w:pPr>
        <w:spacing w:after="0" w:line="240" w:lineRule="exact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</w:p>
    <w:p w:rsidR="0064318B" w:rsidRDefault="0064318B" w:rsidP="006431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hr-HR"/>
        </w:rPr>
      </w:pPr>
      <w:r w:rsidRPr="0064318B">
        <w:rPr>
          <w:rFonts w:ascii="Times New Roman" w:eastAsia="Times New Roman" w:hAnsi="Times New Roman" w:cs="Times New Roman"/>
          <w:lang w:eastAsia="hr-HR"/>
        </w:rPr>
        <w:t>Na temelju Zaključka o raspisivanju javnog natječaja za davanje u zakup javnih površina na području Grada Velike Gorice za postavljanje kioska KLASA:</w:t>
      </w:r>
      <w:r w:rsidR="00D67350">
        <w:rPr>
          <w:rFonts w:ascii="Times New Roman" w:eastAsia="Times New Roman" w:hAnsi="Times New Roman" w:cs="Times New Roman"/>
          <w:lang w:eastAsia="hr-HR"/>
        </w:rPr>
        <w:t xml:space="preserve"> 363-01/2021-01/74</w:t>
      </w:r>
      <w:r w:rsidRPr="0064318B">
        <w:rPr>
          <w:rFonts w:ascii="Times New Roman" w:eastAsia="Times New Roman" w:hAnsi="Times New Roman" w:cs="Times New Roman"/>
          <w:lang w:eastAsia="hr-HR"/>
        </w:rPr>
        <w:t>, URBROJ:</w:t>
      </w:r>
      <w:r w:rsidR="00D67350">
        <w:rPr>
          <w:rFonts w:ascii="Times New Roman" w:eastAsia="Times New Roman" w:hAnsi="Times New Roman" w:cs="Times New Roman"/>
          <w:lang w:eastAsia="hr-HR"/>
        </w:rPr>
        <w:t xml:space="preserve"> 238-31-13/02130-21-1 </w:t>
      </w:r>
      <w:r w:rsidRPr="0064318B">
        <w:rPr>
          <w:rFonts w:ascii="Times New Roman" w:eastAsia="Times New Roman" w:hAnsi="Times New Roman" w:cs="Times New Roman"/>
          <w:lang w:eastAsia="hr-HR"/>
        </w:rPr>
        <w:t xml:space="preserve">od </w:t>
      </w:r>
      <w:r w:rsidR="00D67350">
        <w:rPr>
          <w:rFonts w:ascii="Times New Roman" w:eastAsia="Times New Roman" w:hAnsi="Times New Roman" w:cs="Times New Roman"/>
          <w:lang w:eastAsia="hr-HR"/>
        </w:rPr>
        <w:t xml:space="preserve">10.11.2021. g. </w:t>
      </w:r>
      <w:r w:rsidRPr="0064318B">
        <w:rPr>
          <w:rFonts w:ascii="Times New Roman" w:eastAsia="Times New Roman" w:hAnsi="Times New Roman" w:cs="Times New Roman"/>
          <w:lang w:eastAsia="hr-HR"/>
        </w:rPr>
        <w:t xml:space="preserve"> Gradonačelnik Grada Velike Gorice raspisuje</w:t>
      </w:r>
    </w:p>
    <w:p w:rsidR="004F261A" w:rsidRDefault="004F261A" w:rsidP="006431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hr-HR"/>
        </w:rPr>
      </w:pPr>
    </w:p>
    <w:p w:rsidR="004F261A" w:rsidRDefault="004F261A" w:rsidP="004F261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hr-HR"/>
        </w:rPr>
      </w:pPr>
    </w:p>
    <w:p w:rsidR="004F261A" w:rsidRDefault="004F261A" w:rsidP="004F261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hr-HR"/>
        </w:rPr>
      </w:pPr>
    </w:p>
    <w:p w:rsidR="00BC2D90" w:rsidRPr="00BC2D90" w:rsidRDefault="00BC2D90" w:rsidP="00BC2D90">
      <w:pPr>
        <w:pStyle w:val="Bezproreda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C2D90">
        <w:rPr>
          <w:rFonts w:ascii="Times New Roman" w:hAnsi="Times New Roman" w:cs="Times New Roman"/>
          <w:b/>
          <w:sz w:val="20"/>
          <w:szCs w:val="20"/>
        </w:rPr>
        <w:t>JAVNI NATJEČAJ</w:t>
      </w:r>
    </w:p>
    <w:p w:rsidR="00BC2D90" w:rsidRPr="00BC2D90" w:rsidRDefault="00BC2D90" w:rsidP="00BC2D90">
      <w:pPr>
        <w:pStyle w:val="Bezproreda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C2D90">
        <w:rPr>
          <w:rFonts w:ascii="Times New Roman" w:hAnsi="Times New Roman" w:cs="Times New Roman"/>
          <w:b/>
          <w:sz w:val="20"/>
          <w:szCs w:val="20"/>
        </w:rPr>
        <w:t>za davanje u zakup lokacija na javnim površinama</w:t>
      </w:r>
    </w:p>
    <w:p w:rsidR="00BC2D90" w:rsidRPr="00BC2D90" w:rsidRDefault="00BC2D90" w:rsidP="00BC2D90">
      <w:pPr>
        <w:pStyle w:val="Bezproreda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C2D90">
        <w:rPr>
          <w:rFonts w:ascii="Times New Roman" w:hAnsi="Times New Roman" w:cs="Times New Roman"/>
          <w:b/>
          <w:sz w:val="20"/>
          <w:szCs w:val="20"/>
        </w:rPr>
        <w:t>na području Grada Velike Gorice</w:t>
      </w:r>
    </w:p>
    <w:p w:rsidR="00BC2D90" w:rsidRPr="00BC2D90" w:rsidRDefault="00BC2D90" w:rsidP="00BC2D90">
      <w:pPr>
        <w:pStyle w:val="Bezproreda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C2D90">
        <w:rPr>
          <w:rFonts w:ascii="Times New Roman" w:hAnsi="Times New Roman" w:cs="Times New Roman"/>
          <w:b/>
          <w:sz w:val="20"/>
          <w:szCs w:val="20"/>
        </w:rPr>
        <w:t>za postavljanje kioska</w:t>
      </w:r>
    </w:p>
    <w:p w:rsidR="00BC2D90" w:rsidRPr="00BC2D90" w:rsidRDefault="00BC2D90" w:rsidP="00BC2D90">
      <w:pPr>
        <w:pStyle w:val="Bezproreda"/>
        <w:rPr>
          <w:rFonts w:ascii="Times New Roman" w:hAnsi="Times New Roman" w:cs="Times New Roman"/>
          <w:b/>
          <w:i/>
          <w:sz w:val="20"/>
          <w:szCs w:val="20"/>
        </w:rPr>
      </w:pPr>
      <w:r w:rsidRPr="00BC2D90">
        <w:rPr>
          <w:rFonts w:ascii="Times New Roman" w:hAnsi="Times New Roman" w:cs="Times New Roman"/>
          <w:b/>
          <w:sz w:val="20"/>
          <w:szCs w:val="20"/>
        </w:rPr>
        <w:t>NASELJE VELIKA GORICA</w:t>
      </w:r>
    </w:p>
    <w:p w:rsidR="00BC2D90" w:rsidRPr="00BC2D90" w:rsidRDefault="00BC2D90" w:rsidP="00BC2D90">
      <w:pPr>
        <w:pStyle w:val="Bezproreda"/>
        <w:rPr>
          <w:rFonts w:ascii="Times New Roman" w:hAnsi="Times New Roman" w:cs="Times New Roman"/>
          <w:sz w:val="20"/>
          <w:szCs w:val="20"/>
        </w:rPr>
      </w:pPr>
    </w:p>
    <w:tbl>
      <w:tblPr>
        <w:tblW w:w="14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60"/>
        <w:gridCol w:w="2709"/>
        <w:gridCol w:w="2127"/>
        <w:gridCol w:w="1275"/>
        <w:gridCol w:w="1701"/>
        <w:gridCol w:w="1418"/>
        <w:gridCol w:w="1930"/>
        <w:gridCol w:w="1690"/>
      </w:tblGrid>
      <w:tr w:rsidR="00BC2D90" w:rsidRPr="00BC2D90" w:rsidTr="007A3CB6">
        <w:tc>
          <w:tcPr>
            <w:tcW w:w="1260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BROJ LOKACIJE</w:t>
            </w:r>
          </w:p>
        </w:tc>
        <w:tc>
          <w:tcPr>
            <w:tcW w:w="2709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 xml:space="preserve">OZNAKA 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LOKACIJE</w:t>
            </w:r>
          </w:p>
        </w:tc>
        <w:tc>
          <w:tcPr>
            <w:tcW w:w="2127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NAMJENA LOKACIJE</w:t>
            </w:r>
          </w:p>
        </w:tc>
        <w:tc>
          <w:tcPr>
            <w:tcW w:w="1275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 xml:space="preserve">POVRŠINA 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U m</w:t>
            </w:r>
            <w:r w:rsidRPr="00BC2D9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01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POČETNI IZNOS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 xml:space="preserve">NAKNADE ZA 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 xml:space="preserve">KORIŠTENJE 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LOKACIJE</w:t>
            </w:r>
          </w:p>
        </w:tc>
        <w:tc>
          <w:tcPr>
            <w:tcW w:w="1418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 xml:space="preserve">IZNOS 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 xml:space="preserve">JAMČEVINE </w:t>
            </w:r>
          </w:p>
        </w:tc>
        <w:tc>
          <w:tcPr>
            <w:tcW w:w="1930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 xml:space="preserve">MATERIJAL 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ZA IZRADU</w:t>
            </w:r>
          </w:p>
        </w:tc>
        <w:tc>
          <w:tcPr>
            <w:tcW w:w="1690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NAPOMENA</w:t>
            </w:r>
          </w:p>
        </w:tc>
      </w:tr>
      <w:tr w:rsidR="00BC2D90" w:rsidRPr="00BC2D90" w:rsidTr="007A3CB6">
        <w:tc>
          <w:tcPr>
            <w:tcW w:w="1260" w:type="dxa"/>
            <w:vAlign w:val="center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709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Trg kralja Tomislava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(kod Muzeja Turopolja)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k.č</w:t>
            </w:r>
            <w:proofErr w:type="spellEnd"/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. br. 413/1, k.o. V. Gorica</w:t>
            </w:r>
          </w:p>
        </w:tc>
        <w:tc>
          <w:tcPr>
            <w:tcW w:w="2127" w:type="dxa"/>
            <w:shd w:val="clear" w:color="auto" w:fill="auto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Prodaja novina,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duhanskih i srodnih proizvoda, te artikala iz rješenja o registraciji</w:t>
            </w:r>
          </w:p>
        </w:tc>
        <w:tc>
          <w:tcPr>
            <w:tcW w:w="1275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4,60x2,55 m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1,73 mﾲ"/>
              </w:smartTagPr>
              <w:r w:rsidRPr="00BC2D90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11,73 m²</w:t>
              </w:r>
            </w:smartTag>
          </w:p>
        </w:tc>
        <w:tc>
          <w:tcPr>
            <w:tcW w:w="1701" w:type="dxa"/>
            <w:vAlign w:val="center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7.000,00 kn</w:t>
            </w:r>
          </w:p>
        </w:tc>
        <w:tc>
          <w:tcPr>
            <w:tcW w:w="1418" w:type="dxa"/>
            <w:vAlign w:val="center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1.400,00 kn</w:t>
            </w:r>
          </w:p>
        </w:tc>
        <w:tc>
          <w:tcPr>
            <w:tcW w:w="1930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aluminij i slično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boja RAL 7016</w:t>
            </w:r>
          </w:p>
        </w:tc>
        <w:tc>
          <w:tcPr>
            <w:tcW w:w="1690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 xml:space="preserve">Postavljen kiosk 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ranijeg zakupnika</w:t>
            </w:r>
          </w:p>
        </w:tc>
      </w:tr>
      <w:tr w:rsidR="00BC2D90" w:rsidRPr="00BC2D90" w:rsidTr="007A3CB6">
        <w:tc>
          <w:tcPr>
            <w:tcW w:w="1260" w:type="dxa"/>
            <w:vAlign w:val="center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09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Trg kralja Tomislava-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Šetalište Franje Lučića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k.č</w:t>
            </w:r>
            <w:proofErr w:type="spellEnd"/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. br. 413/1, k.o. V. Gorica</w:t>
            </w:r>
          </w:p>
        </w:tc>
        <w:tc>
          <w:tcPr>
            <w:tcW w:w="2127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Prodaja novina,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duhanskih i srodnih proizvoda, te artikala iz rješenja o registraciji</w:t>
            </w:r>
          </w:p>
        </w:tc>
        <w:tc>
          <w:tcPr>
            <w:tcW w:w="1275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4,40x2,60 m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1,44 mﾲ"/>
              </w:smartTagPr>
              <w:r w:rsidRPr="00BC2D90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11,44 m²</w:t>
              </w:r>
            </w:smartTag>
          </w:p>
        </w:tc>
        <w:tc>
          <w:tcPr>
            <w:tcW w:w="1701" w:type="dxa"/>
            <w:vAlign w:val="center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7.000,00 kn</w:t>
            </w:r>
          </w:p>
        </w:tc>
        <w:tc>
          <w:tcPr>
            <w:tcW w:w="1418" w:type="dxa"/>
            <w:vAlign w:val="center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1.400,00 kn</w:t>
            </w:r>
          </w:p>
        </w:tc>
        <w:tc>
          <w:tcPr>
            <w:tcW w:w="1930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aluminij i slično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boja RAL 7016</w:t>
            </w:r>
          </w:p>
        </w:tc>
        <w:tc>
          <w:tcPr>
            <w:tcW w:w="1690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Postavljen kiosk ranijeg zakupnika</w:t>
            </w:r>
          </w:p>
        </w:tc>
      </w:tr>
      <w:tr w:rsidR="00BC2D90" w:rsidRPr="00BC2D90" w:rsidTr="007A3CB6">
        <w:tc>
          <w:tcPr>
            <w:tcW w:w="1260" w:type="dxa"/>
            <w:vAlign w:val="center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709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Zagrebačka-Ulica</w:t>
            </w:r>
            <w:r w:rsidR="00184066">
              <w:rPr>
                <w:rFonts w:ascii="Times New Roman" w:hAnsi="Times New Roman" w:cs="Times New Roman"/>
                <w:sz w:val="20"/>
                <w:szCs w:val="20"/>
              </w:rPr>
              <w:t xml:space="preserve"> dr. </w:t>
            </w: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Jurja Dobrile (uz postojeću  nadstrešnicu na autobusnom stajalištu)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k.č</w:t>
            </w:r>
            <w:proofErr w:type="spellEnd"/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. br. 2252, k.o. V. Gorica</w:t>
            </w:r>
          </w:p>
        </w:tc>
        <w:tc>
          <w:tcPr>
            <w:tcW w:w="2127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Prodaja novina,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duhanskih i srodnih proizvoda, te artikala iz rješenja o registraciji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3,80x2,30 m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8,74 mﾲ"/>
              </w:smartTagPr>
              <w:r w:rsidRPr="00BC2D90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8,74 m²</w:t>
              </w:r>
            </w:smartTag>
          </w:p>
        </w:tc>
        <w:tc>
          <w:tcPr>
            <w:tcW w:w="1701" w:type="dxa"/>
            <w:vAlign w:val="center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6.000,00 kn</w:t>
            </w:r>
          </w:p>
        </w:tc>
        <w:tc>
          <w:tcPr>
            <w:tcW w:w="1418" w:type="dxa"/>
            <w:vAlign w:val="center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1.200,00 kn</w:t>
            </w:r>
          </w:p>
        </w:tc>
        <w:tc>
          <w:tcPr>
            <w:tcW w:w="1930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INOX-oblikom usklađen sa nadstrešnicom autobusnog stajališta</w:t>
            </w:r>
          </w:p>
        </w:tc>
        <w:tc>
          <w:tcPr>
            <w:tcW w:w="1690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 xml:space="preserve">Postavljen kiosk 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ranijeg zakupnika</w:t>
            </w:r>
          </w:p>
        </w:tc>
      </w:tr>
      <w:tr w:rsidR="00BC2D90" w:rsidRPr="00BC2D90" w:rsidTr="007A3CB6">
        <w:tc>
          <w:tcPr>
            <w:tcW w:w="1260" w:type="dxa"/>
            <w:vAlign w:val="center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2709" w:type="dxa"/>
          </w:tcPr>
          <w:p w:rsidR="00BC2D90" w:rsidRPr="00BC2D90" w:rsidRDefault="00184066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Ulica dr. </w:t>
            </w:r>
            <w:r w:rsidR="00BC2D90" w:rsidRPr="00BC2D90">
              <w:rPr>
                <w:rFonts w:ascii="Times New Roman" w:hAnsi="Times New Roman" w:cs="Times New Roman"/>
                <w:sz w:val="20"/>
                <w:szCs w:val="20"/>
              </w:rPr>
              <w:t>Jurja Dobrile (istočni ulaz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na groblje Velika Gorica)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k.č</w:t>
            </w:r>
            <w:proofErr w:type="spellEnd"/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. br. 3084, k.o. V. Gorica</w:t>
            </w:r>
          </w:p>
        </w:tc>
        <w:tc>
          <w:tcPr>
            <w:tcW w:w="2127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 xml:space="preserve">Prodaja cvijeća i svijeća 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5,20x2,30 m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1,96 mﾲ"/>
              </w:smartTagPr>
              <w:r w:rsidRPr="00BC2D90">
                <w:rPr>
                  <w:rFonts w:ascii="Times New Roman" w:hAnsi="Times New Roman" w:cs="Times New Roman"/>
                  <w:sz w:val="20"/>
                  <w:szCs w:val="20"/>
                </w:rPr>
                <w:t>11,96 m²</w:t>
              </w:r>
            </w:smartTag>
          </w:p>
        </w:tc>
        <w:tc>
          <w:tcPr>
            <w:tcW w:w="1701" w:type="dxa"/>
            <w:vAlign w:val="center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6.000,00 kn</w:t>
            </w:r>
          </w:p>
        </w:tc>
        <w:tc>
          <w:tcPr>
            <w:tcW w:w="1418" w:type="dxa"/>
            <w:vAlign w:val="center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1.200,00 kn</w:t>
            </w:r>
          </w:p>
        </w:tc>
        <w:tc>
          <w:tcPr>
            <w:tcW w:w="1930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aluminij i slično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boja RAL 7016</w:t>
            </w:r>
          </w:p>
        </w:tc>
        <w:tc>
          <w:tcPr>
            <w:tcW w:w="1690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 xml:space="preserve">Postavljen kiosk 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ranijeg zakupnika</w:t>
            </w:r>
          </w:p>
        </w:tc>
      </w:tr>
      <w:tr w:rsidR="00BC2D90" w:rsidRPr="00BC2D90" w:rsidTr="007A3CB6">
        <w:tc>
          <w:tcPr>
            <w:tcW w:w="1260" w:type="dxa"/>
            <w:vAlign w:val="center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709" w:type="dxa"/>
          </w:tcPr>
          <w:p w:rsidR="00BC2D90" w:rsidRPr="00BC2D90" w:rsidRDefault="00184066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Ulica dr. </w:t>
            </w:r>
            <w:r w:rsidR="00BC2D90" w:rsidRPr="00BC2D90">
              <w:rPr>
                <w:rFonts w:ascii="Times New Roman" w:hAnsi="Times New Roman" w:cs="Times New Roman"/>
                <w:sz w:val="20"/>
                <w:szCs w:val="20"/>
              </w:rPr>
              <w:t>Jurja Dobrile (istočni ulaz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na groblje Velika Gorica)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k.č</w:t>
            </w:r>
            <w:proofErr w:type="spellEnd"/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. br. 3084, k.o. V. Gorica</w:t>
            </w:r>
          </w:p>
        </w:tc>
        <w:tc>
          <w:tcPr>
            <w:tcW w:w="2127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 xml:space="preserve">Prodaja cvijeća i svijeća 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5,20x2,30 m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1,96 mﾲ"/>
              </w:smartTagPr>
              <w:r w:rsidRPr="00BC2D90">
                <w:rPr>
                  <w:rFonts w:ascii="Times New Roman" w:hAnsi="Times New Roman" w:cs="Times New Roman"/>
                  <w:sz w:val="20"/>
                  <w:szCs w:val="20"/>
                </w:rPr>
                <w:t>11,96 m²</w:t>
              </w:r>
            </w:smartTag>
          </w:p>
        </w:tc>
        <w:tc>
          <w:tcPr>
            <w:tcW w:w="1701" w:type="dxa"/>
            <w:vAlign w:val="center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6.000,00 kn</w:t>
            </w:r>
          </w:p>
        </w:tc>
        <w:tc>
          <w:tcPr>
            <w:tcW w:w="1418" w:type="dxa"/>
            <w:vAlign w:val="center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1.200,00 kn</w:t>
            </w:r>
          </w:p>
        </w:tc>
        <w:tc>
          <w:tcPr>
            <w:tcW w:w="1930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aluminij i slično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boja RAL 7016</w:t>
            </w:r>
          </w:p>
        </w:tc>
        <w:tc>
          <w:tcPr>
            <w:tcW w:w="1690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Postavljen kiosk ranijeg zakupnika</w:t>
            </w:r>
          </w:p>
        </w:tc>
      </w:tr>
      <w:tr w:rsidR="00BC2D90" w:rsidRPr="00BC2D90" w:rsidTr="007A3CB6">
        <w:tc>
          <w:tcPr>
            <w:tcW w:w="1260" w:type="dxa"/>
            <w:vAlign w:val="center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709" w:type="dxa"/>
          </w:tcPr>
          <w:p w:rsidR="00BC2D90" w:rsidRPr="00BC2D90" w:rsidRDefault="00184066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Ulica </w:t>
            </w:r>
            <w:r w:rsidR="00BC2D90" w:rsidRPr="00BC2D90">
              <w:rPr>
                <w:rFonts w:ascii="Times New Roman" w:hAnsi="Times New Roman" w:cs="Times New Roman"/>
                <w:sz w:val="20"/>
                <w:szCs w:val="20"/>
              </w:rPr>
              <w:t>Matice Hrvatske- Trg Maršala Tita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k.č</w:t>
            </w:r>
            <w:proofErr w:type="spellEnd"/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. br. 1469, k.o. V. Gorica</w:t>
            </w:r>
          </w:p>
        </w:tc>
        <w:tc>
          <w:tcPr>
            <w:tcW w:w="2127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Prodaja lutrije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3,60x3,20 m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1,52 mﾲ"/>
              </w:smartTagPr>
              <w:r w:rsidRPr="00BC2D90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11,52 m²</w:t>
              </w:r>
            </w:smartTag>
          </w:p>
        </w:tc>
        <w:tc>
          <w:tcPr>
            <w:tcW w:w="1701" w:type="dxa"/>
            <w:vAlign w:val="center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10.000,00 kn</w:t>
            </w:r>
          </w:p>
        </w:tc>
        <w:tc>
          <w:tcPr>
            <w:tcW w:w="1418" w:type="dxa"/>
            <w:vAlign w:val="center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2.000,00 kn</w:t>
            </w:r>
          </w:p>
        </w:tc>
        <w:tc>
          <w:tcPr>
            <w:tcW w:w="1930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aluminij i slično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boja RAL 7016</w:t>
            </w:r>
          </w:p>
        </w:tc>
        <w:tc>
          <w:tcPr>
            <w:tcW w:w="1690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 xml:space="preserve">Postavljen kiosk 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ranijeg zakupnika</w:t>
            </w:r>
          </w:p>
        </w:tc>
      </w:tr>
      <w:tr w:rsidR="00BC2D90" w:rsidRPr="00BC2D90" w:rsidTr="007A3CB6">
        <w:tc>
          <w:tcPr>
            <w:tcW w:w="1260" w:type="dxa"/>
            <w:tcBorders>
              <w:top w:val="nil"/>
            </w:tcBorders>
            <w:vAlign w:val="center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709" w:type="dxa"/>
            <w:tcBorders>
              <w:top w:val="nil"/>
            </w:tcBorders>
          </w:tcPr>
          <w:p w:rsidR="00BC2D90" w:rsidRPr="00BC2D90" w:rsidRDefault="00184066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Ulica </w:t>
            </w:r>
            <w:r w:rsidR="00BC2D90" w:rsidRPr="00BC2D90">
              <w:rPr>
                <w:rFonts w:ascii="Times New Roman" w:hAnsi="Times New Roman" w:cs="Times New Roman"/>
                <w:sz w:val="20"/>
                <w:szCs w:val="20"/>
              </w:rPr>
              <w:t>Matice Hrvatske-Trg Maršala Tita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k.č</w:t>
            </w:r>
            <w:proofErr w:type="spellEnd"/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. br. 1469, k.o. V. Gorica</w:t>
            </w:r>
          </w:p>
        </w:tc>
        <w:tc>
          <w:tcPr>
            <w:tcW w:w="2127" w:type="dxa"/>
            <w:tcBorders>
              <w:top w:val="nil"/>
            </w:tcBorders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Prodaja pekarskih proizvoda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3,60x3,20 m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1,52 mﾲ"/>
              </w:smartTagPr>
              <w:r w:rsidRPr="00BC2D90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11,52 m²</w:t>
              </w:r>
            </w:smartTag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5.000,00 kn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1.000,00 kn</w:t>
            </w:r>
          </w:p>
        </w:tc>
        <w:tc>
          <w:tcPr>
            <w:tcW w:w="1930" w:type="dxa"/>
            <w:tcBorders>
              <w:top w:val="nil"/>
            </w:tcBorders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aluminij i slično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boja RAL 7016</w:t>
            </w:r>
          </w:p>
        </w:tc>
        <w:tc>
          <w:tcPr>
            <w:tcW w:w="1690" w:type="dxa"/>
            <w:tcBorders>
              <w:top w:val="nil"/>
            </w:tcBorders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Postavljen kiosk ranijeg zakupnika</w:t>
            </w:r>
          </w:p>
        </w:tc>
      </w:tr>
      <w:tr w:rsidR="00BC2D90" w:rsidRPr="00BC2D90" w:rsidTr="007A3CB6">
        <w:tc>
          <w:tcPr>
            <w:tcW w:w="1260" w:type="dxa"/>
            <w:vAlign w:val="center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709" w:type="dxa"/>
          </w:tcPr>
          <w:p w:rsidR="00BC2D90" w:rsidRPr="00BC2D90" w:rsidRDefault="00184066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Ulica </w:t>
            </w:r>
            <w:r w:rsidR="00BC2D90" w:rsidRPr="00BC2D90">
              <w:rPr>
                <w:rFonts w:ascii="Times New Roman" w:hAnsi="Times New Roman" w:cs="Times New Roman"/>
                <w:sz w:val="20"/>
                <w:szCs w:val="20"/>
              </w:rPr>
              <w:t>Matije Magdalenića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(kod zajedničkih garaža)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k.č</w:t>
            </w:r>
            <w:proofErr w:type="spellEnd"/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. br. 1626/2, k.o. V. Gorica</w:t>
            </w:r>
          </w:p>
        </w:tc>
        <w:tc>
          <w:tcPr>
            <w:tcW w:w="2127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Prodaja novina,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duhanskih i srodnih proizvoda, te artikala iz rješenja o registraciji</w:t>
            </w:r>
          </w:p>
        </w:tc>
        <w:tc>
          <w:tcPr>
            <w:tcW w:w="1275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5,20x2,30 m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11,96 m²</w:t>
            </w:r>
          </w:p>
        </w:tc>
        <w:tc>
          <w:tcPr>
            <w:tcW w:w="1701" w:type="dxa"/>
            <w:vAlign w:val="center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3.000,00 kn</w:t>
            </w:r>
          </w:p>
        </w:tc>
        <w:tc>
          <w:tcPr>
            <w:tcW w:w="1418" w:type="dxa"/>
            <w:vAlign w:val="center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600,00 kn</w:t>
            </w:r>
          </w:p>
        </w:tc>
        <w:tc>
          <w:tcPr>
            <w:tcW w:w="1930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aluminij i slično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boja RAL 7016</w:t>
            </w:r>
          </w:p>
        </w:tc>
        <w:tc>
          <w:tcPr>
            <w:tcW w:w="1690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Nije postavljen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kiosk</w:t>
            </w:r>
          </w:p>
        </w:tc>
      </w:tr>
      <w:tr w:rsidR="00BC2D90" w:rsidRPr="00BC2D90" w:rsidTr="007A3CB6">
        <w:tc>
          <w:tcPr>
            <w:tcW w:w="1260" w:type="dxa"/>
            <w:vAlign w:val="center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709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Trg Stjepana Radića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k.č</w:t>
            </w:r>
            <w:proofErr w:type="spellEnd"/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. br. 1496, k.o. V. Gorica</w:t>
            </w:r>
          </w:p>
        </w:tc>
        <w:tc>
          <w:tcPr>
            <w:tcW w:w="2127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Prodaja novina,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duhanskih i srodnih proizvoda, te artikala iz rješenja o registraciji</w:t>
            </w:r>
          </w:p>
        </w:tc>
        <w:tc>
          <w:tcPr>
            <w:tcW w:w="1275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4,40x2,60 m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11,44 m²</w:t>
            </w:r>
          </w:p>
        </w:tc>
        <w:tc>
          <w:tcPr>
            <w:tcW w:w="1701" w:type="dxa"/>
            <w:vAlign w:val="center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7.000,00 kn</w:t>
            </w:r>
          </w:p>
        </w:tc>
        <w:tc>
          <w:tcPr>
            <w:tcW w:w="1418" w:type="dxa"/>
            <w:vAlign w:val="center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1.400,00 kn</w:t>
            </w:r>
          </w:p>
        </w:tc>
        <w:tc>
          <w:tcPr>
            <w:tcW w:w="1930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aluminij i slično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boja RAL 7016</w:t>
            </w:r>
          </w:p>
        </w:tc>
        <w:tc>
          <w:tcPr>
            <w:tcW w:w="1690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 xml:space="preserve">Nije postavljen 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kiosk</w:t>
            </w:r>
          </w:p>
        </w:tc>
      </w:tr>
    </w:tbl>
    <w:p w:rsidR="00BC2D90" w:rsidRPr="00BC2D90" w:rsidRDefault="00BC2D90" w:rsidP="00BC2D90">
      <w:pPr>
        <w:pStyle w:val="Bezproreda"/>
        <w:rPr>
          <w:rFonts w:ascii="Times New Roman" w:hAnsi="Times New Roman" w:cs="Times New Roman"/>
          <w:sz w:val="20"/>
          <w:szCs w:val="20"/>
        </w:rPr>
      </w:pPr>
    </w:p>
    <w:p w:rsidR="00BC2D90" w:rsidRPr="00BC2D90" w:rsidRDefault="00BC2D90" w:rsidP="00BC2D90">
      <w:pPr>
        <w:pStyle w:val="Bezproreda"/>
        <w:rPr>
          <w:rFonts w:ascii="Times New Roman" w:hAnsi="Times New Roman" w:cs="Times New Roman"/>
          <w:sz w:val="20"/>
          <w:szCs w:val="20"/>
        </w:rPr>
      </w:pPr>
    </w:p>
    <w:p w:rsidR="00BC2D90" w:rsidRPr="00BC2D90" w:rsidRDefault="00BC2D90" w:rsidP="00BC2D90">
      <w:pPr>
        <w:pStyle w:val="Bezproreda"/>
        <w:rPr>
          <w:rFonts w:ascii="Times New Roman" w:hAnsi="Times New Roman" w:cs="Times New Roman"/>
          <w:sz w:val="20"/>
          <w:szCs w:val="20"/>
        </w:rPr>
      </w:pPr>
    </w:p>
    <w:p w:rsidR="00BC2D90" w:rsidRPr="00BC2D90" w:rsidRDefault="00BC2D90" w:rsidP="00BC2D90">
      <w:pPr>
        <w:pStyle w:val="Bezproreda"/>
        <w:rPr>
          <w:rFonts w:ascii="Times New Roman" w:hAnsi="Times New Roman" w:cs="Times New Roman"/>
          <w:sz w:val="20"/>
          <w:szCs w:val="20"/>
        </w:rPr>
      </w:pPr>
    </w:p>
    <w:p w:rsidR="00BC2D90" w:rsidRPr="00BC2D90" w:rsidRDefault="00BC2D90" w:rsidP="00BC2D90">
      <w:pPr>
        <w:pStyle w:val="Bezproreda"/>
        <w:rPr>
          <w:rFonts w:ascii="Times New Roman" w:hAnsi="Times New Roman" w:cs="Times New Roman"/>
          <w:b/>
          <w:sz w:val="20"/>
          <w:szCs w:val="20"/>
        </w:rPr>
      </w:pPr>
      <w:r w:rsidRPr="00BC2D90">
        <w:rPr>
          <w:rFonts w:ascii="Times New Roman" w:hAnsi="Times New Roman" w:cs="Times New Roman"/>
          <w:b/>
          <w:sz w:val="20"/>
          <w:szCs w:val="20"/>
        </w:rPr>
        <w:t>NASELJE VUKOVINA</w:t>
      </w:r>
    </w:p>
    <w:p w:rsidR="00BC2D90" w:rsidRPr="00BC2D90" w:rsidRDefault="00BC2D90" w:rsidP="00BC2D90">
      <w:pPr>
        <w:pStyle w:val="Bezproreda"/>
        <w:rPr>
          <w:rFonts w:ascii="Times New Roman" w:hAnsi="Times New Roman" w:cs="Times New Roman"/>
          <w:sz w:val="20"/>
          <w:szCs w:val="20"/>
        </w:rPr>
      </w:pPr>
    </w:p>
    <w:tbl>
      <w:tblPr>
        <w:tblW w:w="14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60"/>
        <w:gridCol w:w="2517"/>
        <w:gridCol w:w="2177"/>
        <w:gridCol w:w="1276"/>
        <w:gridCol w:w="1842"/>
        <w:gridCol w:w="1418"/>
        <w:gridCol w:w="1930"/>
        <w:gridCol w:w="1690"/>
      </w:tblGrid>
      <w:tr w:rsidR="00BC2D90" w:rsidRPr="00BC2D90" w:rsidTr="007A3CB6"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17" w:type="dxa"/>
            <w:tcBorders>
              <w:top w:val="single" w:sz="4" w:space="0" w:color="auto"/>
            </w:tcBorders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Sjeverozapadni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ulaz na groblje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k.č</w:t>
            </w:r>
            <w:proofErr w:type="spellEnd"/>
            <w:r w:rsidRPr="00BC2D90">
              <w:rPr>
                <w:rFonts w:ascii="Times New Roman" w:hAnsi="Times New Roman" w:cs="Times New Roman"/>
                <w:sz w:val="20"/>
                <w:szCs w:val="20"/>
              </w:rPr>
              <w:t xml:space="preserve">. br. 9, k.o. </w:t>
            </w:r>
            <w:proofErr w:type="spellStart"/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Vukovina</w:t>
            </w:r>
            <w:proofErr w:type="spellEnd"/>
          </w:p>
        </w:tc>
        <w:tc>
          <w:tcPr>
            <w:tcW w:w="2177" w:type="dxa"/>
            <w:tcBorders>
              <w:top w:val="single" w:sz="4" w:space="0" w:color="auto"/>
            </w:tcBorders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Prodaja cvijeća i svijeća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5,00x2,40 m 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2,00 mﾲ"/>
              </w:smartTagPr>
              <w:r w:rsidRPr="00BC2D90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12,00 m²</w:t>
              </w:r>
            </w:smartTag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3.000,00 kn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 xml:space="preserve">600,00 kn </w:t>
            </w:r>
          </w:p>
        </w:tc>
        <w:tc>
          <w:tcPr>
            <w:tcW w:w="1930" w:type="dxa"/>
            <w:tcBorders>
              <w:top w:val="single" w:sz="4" w:space="0" w:color="auto"/>
            </w:tcBorders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aluminij i slično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boja RAL 7016</w:t>
            </w:r>
          </w:p>
        </w:tc>
        <w:tc>
          <w:tcPr>
            <w:tcW w:w="1690" w:type="dxa"/>
            <w:tcBorders>
              <w:top w:val="single" w:sz="4" w:space="0" w:color="auto"/>
            </w:tcBorders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Postavljen kiosk 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ranijeg zakupnika</w:t>
            </w:r>
          </w:p>
        </w:tc>
      </w:tr>
      <w:tr w:rsidR="00BC2D90" w:rsidRPr="00BC2D90" w:rsidTr="007A3CB6">
        <w:tc>
          <w:tcPr>
            <w:tcW w:w="1260" w:type="dxa"/>
            <w:vAlign w:val="center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17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Sjeverozapadni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ulaz na groblje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k.č</w:t>
            </w:r>
            <w:proofErr w:type="spellEnd"/>
            <w:r w:rsidRPr="00BC2D90">
              <w:rPr>
                <w:rFonts w:ascii="Times New Roman" w:hAnsi="Times New Roman" w:cs="Times New Roman"/>
                <w:sz w:val="20"/>
                <w:szCs w:val="20"/>
              </w:rPr>
              <w:t xml:space="preserve">. br. 9, k.o. </w:t>
            </w:r>
            <w:proofErr w:type="spellStart"/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Vukovina</w:t>
            </w:r>
            <w:proofErr w:type="spellEnd"/>
          </w:p>
        </w:tc>
        <w:tc>
          <w:tcPr>
            <w:tcW w:w="2177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Prodaja cvijeća i svijeća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4,00x2,90 m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1,60 mﾲ"/>
              </w:smartTagPr>
              <w:r w:rsidRPr="00BC2D90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11,60 m²</w:t>
              </w:r>
            </w:smartTag>
          </w:p>
        </w:tc>
        <w:tc>
          <w:tcPr>
            <w:tcW w:w="1842" w:type="dxa"/>
            <w:vAlign w:val="center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3.000,00 kn</w:t>
            </w:r>
          </w:p>
        </w:tc>
        <w:tc>
          <w:tcPr>
            <w:tcW w:w="1418" w:type="dxa"/>
            <w:vAlign w:val="center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 xml:space="preserve">  600,00 kn</w:t>
            </w:r>
          </w:p>
        </w:tc>
        <w:tc>
          <w:tcPr>
            <w:tcW w:w="1930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aluminij i slično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boja RAL 7016</w:t>
            </w:r>
          </w:p>
        </w:tc>
        <w:tc>
          <w:tcPr>
            <w:tcW w:w="1690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Postavljen kiosk ranijeg zakupnika</w:t>
            </w:r>
          </w:p>
        </w:tc>
      </w:tr>
      <w:tr w:rsidR="00BC2D90" w:rsidRPr="00BC2D90" w:rsidTr="007A3CB6">
        <w:tc>
          <w:tcPr>
            <w:tcW w:w="1260" w:type="dxa"/>
            <w:vAlign w:val="center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517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Stara cesta kod pošte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k.č</w:t>
            </w:r>
            <w:proofErr w:type="spellEnd"/>
            <w:r w:rsidRPr="00BC2D90">
              <w:rPr>
                <w:rFonts w:ascii="Times New Roman" w:hAnsi="Times New Roman" w:cs="Times New Roman"/>
                <w:sz w:val="20"/>
                <w:szCs w:val="20"/>
              </w:rPr>
              <w:t xml:space="preserve">. br. 14/1, k.o. </w:t>
            </w:r>
            <w:proofErr w:type="spellStart"/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Vukovina</w:t>
            </w:r>
            <w:proofErr w:type="spellEnd"/>
          </w:p>
        </w:tc>
        <w:tc>
          <w:tcPr>
            <w:tcW w:w="2177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Prodaja cvijeća i svijeća</w:t>
            </w:r>
          </w:p>
        </w:tc>
        <w:tc>
          <w:tcPr>
            <w:tcW w:w="1276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3,00x2,40 m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7,20 mﾲ"/>
              </w:smartTagPr>
              <w:r w:rsidRPr="00BC2D90">
                <w:rPr>
                  <w:rFonts w:ascii="Times New Roman" w:hAnsi="Times New Roman" w:cs="Times New Roman"/>
                  <w:sz w:val="20"/>
                  <w:szCs w:val="20"/>
                </w:rPr>
                <w:t>7,20 m²</w:t>
              </w:r>
            </w:smartTag>
          </w:p>
        </w:tc>
        <w:tc>
          <w:tcPr>
            <w:tcW w:w="1842" w:type="dxa"/>
            <w:vAlign w:val="center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1.000,00 kn</w:t>
            </w:r>
          </w:p>
        </w:tc>
        <w:tc>
          <w:tcPr>
            <w:tcW w:w="1418" w:type="dxa"/>
            <w:vAlign w:val="center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 xml:space="preserve">200,00 kn   </w:t>
            </w:r>
          </w:p>
        </w:tc>
        <w:tc>
          <w:tcPr>
            <w:tcW w:w="1930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aluminij i slično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boja RAL 7016</w:t>
            </w:r>
          </w:p>
        </w:tc>
        <w:tc>
          <w:tcPr>
            <w:tcW w:w="1690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Nije postavljen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kiosk</w:t>
            </w:r>
          </w:p>
        </w:tc>
      </w:tr>
      <w:tr w:rsidR="00BC2D90" w:rsidRPr="00BC2D90" w:rsidTr="007A3CB6">
        <w:trPr>
          <w:trHeight w:val="437"/>
        </w:trPr>
        <w:tc>
          <w:tcPr>
            <w:tcW w:w="1260" w:type="dxa"/>
            <w:vAlign w:val="center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</w:p>
        </w:tc>
        <w:tc>
          <w:tcPr>
            <w:tcW w:w="2517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Stara cesta kod pošte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k.č</w:t>
            </w:r>
            <w:proofErr w:type="spellEnd"/>
            <w:r w:rsidRPr="00BC2D90">
              <w:rPr>
                <w:rFonts w:ascii="Times New Roman" w:hAnsi="Times New Roman" w:cs="Times New Roman"/>
                <w:sz w:val="20"/>
                <w:szCs w:val="20"/>
              </w:rPr>
              <w:t xml:space="preserve">. br. 14/1, k.o. </w:t>
            </w:r>
            <w:proofErr w:type="spellStart"/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Vukovina</w:t>
            </w:r>
            <w:proofErr w:type="spellEnd"/>
          </w:p>
        </w:tc>
        <w:tc>
          <w:tcPr>
            <w:tcW w:w="2177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Prodaja voća i povrća</w:t>
            </w:r>
          </w:p>
        </w:tc>
        <w:tc>
          <w:tcPr>
            <w:tcW w:w="1276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3,00x2,40 m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7,20 mﾲ"/>
              </w:smartTagPr>
              <w:r w:rsidRPr="00BC2D90">
                <w:rPr>
                  <w:rFonts w:ascii="Times New Roman" w:hAnsi="Times New Roman" w:cs="Times New Roman"/>
                  <w:sz w:val="20"/>
                  <w:szCs w:val="20"/>
                </w:rPr>
                <w:t>7,20 m²</w:t>
              </w:r>
            </w:smartTag>
          </w:p>
        </w:tc>
        <w:tc>
          <w:tcPr>
            <w:tcW w:w="1842" w:type="dxa"/>
            <w:vAlign w:val="center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1.000,00 kn</w:t>
            </w:r>
          </w:p>
        </w:tc>
        <w:tc>
          <w:tcPr>
            <w:tcW w:w="1418" w:type="dxa"/>
            <w:vAlign w:val="center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 xml:space="preserve">200,00 kn   </w:t>
            </w:r>
          </w:p>
        </w:tc>
        <w:tc>
          <w:tcPr>
            <w:tcW w:w="1930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aluminij i slično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boja RAL 7016</w:t>
            </w:r>
          </w:p>
        </w:tc>
        <w:tc>
          <w:tcPr>
            <w:tcW w:w="1690" w:type="dxa"/>
          </w:tcPr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 xml:space="preserve">Nije postavljen </w:t>
            </w:r>
          </w:p>
          <w:p w:rsidR="00BC2D90" w:rsidRPr="00BC2D90" w:rsidRDefault="00BC2D90" w:rsidP="00BC2D90">
            <w:pPr>
              <w:pStyle w:val="Bezproreda"/>
              <w:rPr>
                <w:rFonts w:ascii="Times New Roman" w:hAnsi="Times New Roman" w:cs="Times New Roman"/>
                <w:sz w:val="20"/>
                <w:szCs w:val="20"/>
              </w:rPr>
            </w:pPr>
            <w:r w:rsidRPr="00BC2D90">
              <w:rPr>
                <w:rFonts w:ascii="Times New Roman" w:hAnsi="Times New Roman" w:cs="Times New Roman"/>
                <w:sz w:val="20"/>
                <w:szCs w:val="20"/>
              </w:rPr>
              <w:t>kiosk</w:t>
            </w:r>
          </w:p>
        </w:tc>
      </w:tr>
    </w:tbl>
    <w:p w:rsidR="00BC2D90" w:rsidRPr="00BC2D90" w:rsidRDefault="00BC2D90" w:rsidP="00BC2D90">
      <w:pPr>
        <w:pStyle w:val="Bezproreda"/>
        <w:rPr>
          <w:rFonts w:ascii="Times New Roman" w:hAnsi="Times New Roman" w:cs="Times New Roman"/>
          <w:color w:val="FF0000"/>
          <w:sz w:val="20"/>
          <w:szCs w:val="20"/>
        </w:rPr>
      </w:pPr>
    </w:p>
    <w:p w:rsidR="00BC2D90" w:rsidRPr="00BC2D90" w:rsidRDefault="00BC2D90" w:rsidP="00BC2D90">
      <w:pPr>
        <w:pStyle w:val="Bezproreda"/>
        <w:rPr>
          <w:rFonts w:ascii="Times New Roman" w:hAnsi="Times New Roman" w:cs="Times New Roman"/>
          <w:color w:val="FF0000"/>
          <w:sz w:val="20"/>
          <w:szCs w:val="20"/>
        </w:rPr>
      </w:pPr>
    </w:p>
    <w:p w:rsidR="0064318B" w:rsidRPr="0064318B" w:rsidRDefault="0064318B" w:rsidP="0064318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>Natjecati se mogu fizičke i pravne osobe.</w:t>
      </w:r>
    </w:p>
    <w:p w:rsidR="0064318B" w:rsidRPr="0064318B" w:rsidRDefault="0064318B" w:rsidP="0064318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>Lokacije se daju u zakup na pet (5) godina.</w:t>
      </w:r>
    </w:p>
    <w:p w:rsidR="0064318B" w:rsidRPr="0064318B" w:rsidRDefault="0064318B" w:rsidP="0064318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>Naknada za korištenje lokacije plaća se prije sklapanja ugovora o zakupu.</w:t>
      </w:r>
    </w:p>
    <w:p w:rsidR="0064318B" w:rsidRPr="0064318B" w:rsidRDefault="0064318B" w:rsidP="0064318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>Zakupnina se plaća mjesečno i može se mijenjati u skladu s važećim aktima koje donose nadležna tijela Grada Velike Gorice.</w:t>
      </w:r>
    </w:p>
    <w:p w:rsidR="0064318B" w:rsidRPr="0064318B" w:rsidRDefault="0064318B" w:rsidP="0064318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>Lokacija se ne može dati u podzakup.</w:t>
      </w:r>
    </w:p>
    <w:p w:rsidR="0064318B" w:rsidRPr="0064318B" w:rsidRDefault="0064318B" w:rsidP="0064318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>Ponuda mora sadržavati:</w:t>
      </w:r>
    </w:p>
    <w:p w:rsidR="0064318B" w:rsidRPr="0064318B" w:rsidRDefault="0064318B" w:rsidP="0064318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>osnovne podatke o pravnoj ili fizičkoj osobi koja se natječe,</w:t>
      </w:r>
    </w:p>
    <w:p w:rsidR="0064318B" w:rsidRPr="0064318B" w:rsidRDefault="0064318B" w:rsidP="0064318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>presliku osobne iskaznice (fizička osoba),</w:t>
      </w:r>
    </w:p>
    <w:p w:rsidR="0064318B" w:rsidRPr="0064318B" w:rsidRDefault="0064318B" w:rsidP="0064318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>original ili presliku izvatka iz obrtnog (obrtnik) i sudskog (trgovačko društvo) registra ili drugog odgovarajućeg registra, ne stariji od 30 dana od raspisivanja javnog natječaja,</w:t>
      </w:r>
    </w:p>
    <w:p w:rsidR="0064318B" w:rsidRPr="0064318B" w:rsidRDefault="0064318B" w:rsidP="0064318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>lokaciju za koju se daje ponuda (broj lokacije i oznaku lokacije),</w:t>
      </w:r>
    </w:p>
    <w:p w:rsidR="0064318B" w:rsidRPr="0064318B" w:rsidRDefault="0064318B" w:rsidP="0064318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>visinu ponuđene naknade za korištenje lokacije,</w:t>
      </w:r>
    </w:p>
    <w:p w:rsidR="0064318B" w:rsidRPr="0064318B" w:rsidRDefault="0064318B" w:rsidP="0064318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>dokaz o uplaćenoj jamčevini, koja se uplaćuje u korist Proračuna Grada Velike Gorice, na žiro račun broj : IBAN HR</w:t>
      </w:r>
      <w:r w:rsidR="00BD4C6F">
        <w:rPr>
          <w:rFonts w:ascii="Times New Roman" w:eastAsia="Times New Roman" w:hAnsi="Times New Roman" w:cs="Times New Roman"/>
          <w:sz w:val="20"/>
          <w:szCs w:val="20"/>
          <w:lang w:eastAsia="hr-HR"/>
        </w:rPr>
        <w:t>6624020061854100005</w:t>
      </w:r>
      <w:r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model HR68, poziv na broj 7706 – OIB </w:t>
      </w:r>
      <w:proofErr w:type="spellStart"/>
      <w:r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>platitelja</w:t>
      </w:r>
      <w:proofErr w:type="spellEnd"/>
      <w:r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>, svrha uplate: jamčevina,</w:t>
      </w:r>
    </w:p>
    <w:p w:rsidR="0064318B" w:rsidRPr="0064318B" w:rsidRDefault="0064318B" w:rsidP="0064318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original ili presliku Potvrde </w:t>
      </w:r>
      <w:r w:rsidR="00BD4C6F">
        <w:rPr>
          <w:rFonts w:ascii="Times New Roman" w:eastAsia="Times New Roman" w:hAnsi="Times New Roman" w:cs="Times New Roman"/>
          <w:sz w:val="20"/>
          <w:szCs w:val="20"/>
          <w:lang w:eastAsia="hr-HR"/>
        </w:rPr>
        <w:t>upravnog odjela za financije</w:t>
      </w:r>
      <w:r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Grada Velike Gorice, te  original ili presliku potvrde Gradskog stambenog gospodarstva Velika Gorica d.o.o. ne stariju od 30 dana od raspisivanja javnog natječaja, čime ponuditelj dokazuje da nema dugovanja p</w:t>
      </w:r>
      <w:r w:rsidR="006E0AC9">
        <w:rPr>
          <w:rFonts w:ascii="Times New Roman" w:eastAsia="Times New Roman" w:hAnsi="Times New Roman" w:cs="Times New Roman"/>
          <w:sz w:val="20"/>
          <w:szCs w:val="20"/>
          <w:lang w:eastAsia="hr-HR"/>
        </w:rPr>
        <w:t>rema Gradu po bilo kojoj osnovi.</w:t>
      </w:r>
    </w:p>
    <w:p w:rsidR="0064318B" w:rsidRPr="0064318B" w:rsidRDefault="0064318B" w:rsidP="0064318B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>Natjecatelji trebaju dati zasebnu ponudu za svaku lokaciju.</w:t>
      </w:r>
    </w:p>
    <w:p w:rsidR="0010798B" w:rsidRDefault="00BD4C6F" w:rsidP="0064318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Raniji zakupnik koji temeljem provedenog postupka ostaje na lokaciji</w:t>
      </w:r>
      <w:r w:rsidR="0064318B"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dužan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je u roku 3</w:t>
      </w:r>
      <w:r w:rsidR="0064318B"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>0 dana od dana sklapanja Ugovora o zakupu Upravnom odjelu za komunalne djelatnosti i promet Grada Velike Gorice podnijeti zahtjev za donošenje</w:t>
      </w: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rješenja o postavljanju kioska</w:t>
      </w:r>
      <w:r w:rsidR="0010798B">
        <w:rPr>
          <w:rFonts w:ascii="Times New Roman" w:eastAsia="Times New Roman" w:hAnsi="Times New Roman" w:cs="Times New Roman"/>
          <w:sz w:val="20"/>
          <w:szCs w:val="20"/>
          <w:lang w:eastAsia="hr-HR"/>
        </w:rPr>
        <w:t>, dok je taj rok za donošenje predmetnog rješenja za novog zakupnika 60 dana od dana sklapanja Ugovora o zakupu.</w:t>
      </w:r>
    </w:p>
    <w:p w:rsidR="0064318B" w:rsidRPr="0064318B" w:rsidRDefault="0010798B" w:rsidP="0064318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Novi z</w:t>
      </w:r>
      <w:r w:rsidR="0064318B"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akupnik je dužan o svom trošku izraditi idejni projekt sukladno odredbi članka 30. Odluke o komunalnom redu (Službeni glasnik Grada Velike Gorice, broj: </w:t>
      </w:r>
      <w:r w:rsidR="00C64773">
        <w:rPr>
          <w:rFonts w:ascii="Times New Roman" w:eastAsia="Times New Roman" w:hAnsi="Times New Roman" w:cs="Times New Roman"/>
          <w:sz w:val="20"/>
          <w:szCs w:val="20"/>
          <w:lang w:eastAsia="hr-HR"/>
        </w:rPr>
        <w:t>10/16, 10/18., 8/19.</w:t>
      </w:r>
      <w:r w:rsidR="0064318B"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>) i Pravilnika o postavljanju kioska i pokretnih naprava na području Grada Velike Gorice (Službeni glasnik Grada Velike Gorice, broj: 09/10.</w:t>
      </w:r>
      <w:r w:rsidR="00C64773">
        <w:rPr>
          <w:rFonts w:ascii="Times New Roman" w:eastAsia="Times New Roman" w:hAnsi="Times New Roman" w:cs="Times New Roman"/>
          <w:sz w:val="20"/>
          <w:szCs w:val="20"/>
          <w:lang w:eastAsia="hr-HR"/>
        </w:rPr>
        <w:t>, 06/16.</w:t>
      </w:r>
      <w:r w:rsidR="0064318B"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>), nabaviti i postaviti kiosk, urediti lokaciju za postavljanje kioska i snositi troškove priključenja na komunalnu i ostalu infrastrukturu.</w:t>
      </w:r>
    </w:p>
    <w:p w:rsidR="0064318B" w:rsidRPr="0064318B" w:rsidRDefault="0064318B" w:rsidP="0064318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>Rok za podnošenje ponuda je osam (8) dana od dana objave natječaja u tisku.</w:t>
      </w:r>
    </w:p>
    <w:p w:rsidR="0064318B" w:rsidRPr="0064318B" w:rsidRDefault="0064318B" w:rsidP="0064318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>Ponude se upućuju Upravnom odjelu za komunalne djelatnosti i promet Grada Velike Gorice, Velika Gorica, Trg kralja Tomislava 34, u zatvorenoj omotnici s naznakom "ZA NATJEČAJ ZA POSTAVLJANJE KIOSKA – NE OTVARATI“, predaju se u pisarnici gradske uprave Velika Gorica, Trg kralja Tomislava 34 ili  šalju preporučenom pošiljkom na istu adresu.</w:t>
      </w:r>
    </w:p>
    <w:p w:rsidR="0064318B" w:rsidRPr="0064318B" w:rsidRDefault="0064318B" w:rsidP="0064318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Ponude će biti javno otvorene </w:t>
      </w:r>
      <w:r w:rsidRPr="0064318B">
        <w:rPr>
          <w:rFonts w:ascii="Times New Roman" w:eastAsia="Times New Roman" w:hAnsi="Times New Roman" w:cs="Times New Roman"/>
          <w:b/>
          <w:sz w:val="20"/>
          <w:szCs w:val="20"/>
          <w:lang w:eastAsia="hr-HR"/>
        </w:rPr>
        <w:t xml:space="preserve">dana </w:t>
      </w:r>
      <w:r w:rsidR="005B3CDB">
        <w:rPr>
          <w:rFonts w:ascii="Times New Roman" w:eastAsia="Times New Roman" w:hAnsi="Times New Roman" w:cs="Times New Roman"/>
          <w:b/>
          <w:sz w:val="20"/>
          <w:szCs w:val="20"/>
          <w:lang w:eastAsia="hr-HR"/>
        </w:rPr>
        <w:t>01.12.</w:t>
      </w:r>
      <w:r w:rsidR="00C64773">
        <w:rPr>
          <w:rFonts w:ascii="Times New Roman" w:eastAsia="Times New Roman" w:hAnsi="Times New Roman" w:cs="Times New Roman"/>
          <w:b/>
          <w:sz w:val="20"/>
          <w:szCs w:val="20"/>
          <w:lang w:eastAsia="hr-HR"/>
        </w:rPr>
        <w:t>2021</w:t>
      </w:r>
      <w:r w:rsidRPr="0064318B">
        <w:rPr>
          <w:rFonts w:ascii="Times New Roman" w:eastAsia="Times New Roman" w:hAnsi="Times New Roman" w:cs="Times New Roman"/>
          <w:b/>
          <w:sz w:val="20"/>
          <w:szCs w:val="20"/>
          <w:lang w:eastAsia="hr-HR"/>
        </w:rPr>
        <w:t xml:space="preserve">. godine u </w:t>
      </w:r>
      <w:r w:rsidR="005B3CDB">
        <w:rPr>
          <w:rFonts w:ascii="Times New Roman" w:eastAsia="Times New Roman" w:hAnsi="Times New Roman" w:cs="Times New Roman"/>
          <w:b/>
          <w:sz w:val="20"/>
          <w:szCs w:val="20"/>
          <w:lang w:eastAsia="hr-HR"/>
        </w:rPr>
        <w:t>9.00</w:t>
      </w:r>
      <w:r w:rsidRPr="0064318B">
        <w:rPr>
          <w:rFonts w:ascii="Times New Roman" w:eastAsia="Times New Roman" w:hAnsi="Times New Roman" w:cs="Times New Roman"/>
          <w:b/>
          <w:sz w:val="20"/>
          <w:szCs w:val="20"/>
          <w:lang w:eastAsia="hr-HR"/>
        </w:rPr>
        <w:t xml:space="preserve"> sati u prostorijama gradske uprave, Velika Gorica, Trg kralja Tomislava 34. </w:t>
      </w:r>
    </w:p>
    <w:p w:rsidR="0064318B" w:rsidRDefault="0064318B" w:rsidP="0064318B">
      <w:pPr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>Na otvaranju ponuda mogu biti prisutni ovlašteni ili opunomoćeni predstavnici ponuditelja, što se utvrđuje prije pristupanja otvaranju ponuda predočenjem punomoći i osobne iskaznice.</w:t>
      </w:r>
    </w:p>
    <w:p w:rsidR="00C64773" w:rsidRPr="0064318B" w:rsidRDefault="00C64773" w:rsidP="0064318B">
      <w:pPr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r-HR"/>
        </w:rPr>
        <w:t>Napomena: Natjecatelji su dužni pridržavati se propisanih mjera Stožera civilne zaštite Republike Hrvatske i preporuka HZJZ-a</w:t>
      </w:r>
      <w:r w:rsidR="0027223B">
        <w:rPr>
          <w:rFonts w:ascii="Times New Roman" w:eastAsia="Times New Roman" w:hAnsi="Times New Roman" w:cs="Times New Roman"/>
          <w:sz w:val="20"/>
          <w:szCs w:val="20"/>
          <w:lang w:eastAsia="hr-HR"/>
        </w:rPr>
        <w:t>, naročito u pogledu točke V. Odluke o uvođenju posebne sigurnosne mjere obveznog testiranja dužnosnika, državnih službenika i namještenika, službenika i namještenika u javnim službama, službenika i namještenika u lokalnoj i područnoj (regionalnoj) samoupravi te zaposlenika trgovačkih društava i ustanova (NN br. 121/21.).</w:t>
      </w:r>
    </w:p>
    <w:p w:rsidR="0064318B" w:rsidRPr="0064318B" w:rsidRDefault="0064318B" w:rsidP="0064318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>Najpovoljnijim ponuditeljem smatra se ponuditelj koji uz ispunjenje svih uvjeta iz natječaja ponudi najvišu naknadu za korištenje lokacije.</w:t>
      </w:r>
    </w:p>
    <w:p w:rsidR="0064318B" w:rsidRPr="0064318B" w:rsidRDefault="0064318B" w:rsidP="0064318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>Raniji zakupnik lokacije na kojoj je postavljen kiosk, a kojem je istekao ugovor o zakupu koji sudjeluju u ovom javnom natječaju ima pravo prvenstva na sklapanje ugovora o zakupu ako:</w:t>
      </w:r>
    </w:p>
    <w:p w:rsidR="0064318B" w:rsidRPr="0064318B" w:rsidRDefault="0064318B" w:rsidP="0064318B">
      <w:pPr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>- udovoljava svim uvjetima iz natječaja,</w:t>
      </w:r>
    </w:p>
    <w:p w:rsidR="0064318B" w:rsidRPr="0064318B" w:rsidRDefault="0064318B" w:rsidP="0064318B">
      <w:pPr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lastRenderedPageBreak/>
        <w:t>- prihvati najviši ponuđeni iznos naknade za lokaciju.</w:t>
      </w:r>
    </w:p>
    <w:p w:rsidR="0064318B" w:rsidRPr="0064318B" w:rsidRDefault="0064318B" w:rsidP="0064318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>U slučaju da dva ili više ponuditelja, koji ispunjavaju uvjete iz natječaja, ponude isti iznos naknade za lokaciju, pravo na sklapanje ugovora ima ponuditelj čija je ponuda ranije zaprimljena u pisarnici gradske uprave.</w:t>
      </w:r>
    </w:p>
    <w:p w:rsidR="0064318B" w:rsidRPr="0064318B" w:rsidRDefault="0064318B" w:rsidP="0064318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>Ponude koje nisu podnesene u roku ili su nepotpune neće se razmatrati.</w:t>
      </w:r>
    </w:p>
    <w:p w:rsidR="0064318B" w:rsidRPr="0064318B" w:rsidRDefault="0064318B" w:rsidP="0064318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>Gradonačel</w:t>
      </w:r>
      <w:r w:rsidR="00C64773">
        <w:rPr>
          <w:rFonts w:ascii="Times New Roman" w:eastAsia="Times New Roman" w:hAnsi="Times New Roman" w:cs="Times New Roman"/>
          <w:sz w:val="20"/>
          <w:szCs w:val="20"/>
          <w:lang w:eastAsia="hr-HR"/>
        </w:rPr>
        <w:t>nik Grada Velike Gorice donosi O</w:t>
      </w:r>
      <w:r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>dluku o izboru najpovoljnijeg ponuditelja u roku od 15 dana od otvaranja ponuda koja se dostavlja svakom ponuditelju.</w:t>
      </w:r>
    </w:p>
    <w:p w:rsidR="0064318B" w:rsidRPr="0064318B" w:rsidRDefault="0064318B" w:rsidP="0064318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>Natjecateljima čije ponude nisu prihvaćene uplaćena jamčevina se vraća nakon dovršetka natječaja, najkasnije u roku 15 dana od izbora najpovoljnijeg ponuditelja.</w:t>
      </w:r>
    </w:p>
    <w:p w:rsidR="0064318B" w:rsidRPr="0064318B" w:rsidRDefault="0064318B" w:rsidP="0064318B">
      <w:pPr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>Natjecateljima čija je ponuda prihvaćena kao najpovoljnija jamčevina se uračunava u utvrđeni iznos naknade za lokaciju.</w:t>
      </w:r>
    </w:p>
    <w:p w:rsidR="0064318B" w:rsidRPr="0064318B" w:rsidRDefault="0064318B" w:rsidP="0064318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>Ako  natjecatelji čija je ponuda prihvaćena kao najpovoljnija odustanu od sklapanja ugovora o zakupu, Gradonačelnik Grada Velike Gorice može izabrati drugu po redu najpovoljniju ponudu ili raspisati novi javni natječaj.</w:t>
      </w:r>
    </w:p>
    <w:p w:rsidR="0064318B" w:rsidRPr="0064318B" w:rsidRDefault="0064318B" w:rsidP="0064318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Ako osoba koja je odabrana kao najpovoljniji ponuditelj u roku </w:t>
      </w:r>
      <w:r w:rsidR="00BD4C6F">
        <w:rPr>
          <w:rFonts w:ascii="Times New Roman" w:eastAsia="Times New Roman" w:hAnsi="Times New Roman" w:cs="Times New Roman"/>
          <w:sz w:val="20"/>
          <w:szCs w:val="20"/>
          <w:lang w:eastAsia="hr-HR"/>
        </w:rPr>
        <w:t>7</w:t>
      </w:r>
      <w:r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dana od dana dostave poziva za sklapanje ugovora o zakupu isti ne sklopi, smatra se da je odustala od sklapanja ugovora o zakupu.</w:t>
      </w:r>
    </w:p>
    <w:p w:rsidR="0064318B" w:rsidRPr="0064318B" w:rsidRDefault="0064318B" w:rsidP="0064318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>Grad Velika Gorica zadržava pravo djelomičnog ili potpunog poništenja javnog natječaja, te ne odabrati niti jednog ponuditelja bez ikakve odgovornosti prema ponuditeljima.</w:t>
      </w:r>
    </w:p>
    <w:p w:rsidR="0064318B" w:rsidRPr="0064318B" w:rsidRDefault="0064318B" w:rsidP="0064318B">
      <w:pPr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64318B" w:rsidRPr="0064318B" w:rsidRDefault="0064318B" w:rsidP="0064318B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64318B" w:rsidRPr="0064318B" w:rsidRDefault="0064318B" w:rsidP="0064318B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Napomena: </w:t>
      </w:r>
    </w:p>
    <w:p w:rsidR="0064318B" w:rsidRPr="0064318B" w:rsidRDefault="0064318B" w:rsidP="0064318B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>Uvid u kartu s grafičkim prikazom lokacija može se izvršiti na službenim  stranicama Grada Velike Gorice – gorica.hr, na oglasnoj ploči gradske uprave, Velika Gorica, Trg kralja Tomislava 34.</w:t>
      </w:r>
    </w:p>
    <w:p w:rsidR="0064318B" w:rsidRPr="0064318B" w:rsidRDefault="0064318B" w:rsidP="0064318B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>Dodatne informacije mogu se dobiti na telefonu broj: 01/6269-945 i 01/626</w:t>
      </w:r>
      <w:r w:rsidR="00BD4C6F">
        <w:rPr>
          <w:rFonts w:ascii="Times New Roman" w:eastAsia="Times New Roman" w:hAnsi="Times New Roman" w:cs="Times New Roman"/>
          <w:sz w:val="20"/>
          <w:szCs w:val="20"/>
          <w:lang w:eastAsia="hr-HR"/>
        </w:rPr>
        <w:t>9-923 radnim danom od 08.00-15.0</w:t>
      </w:r>
      <w:r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>0 sati.</w:t>
      </w:r>
    </w:p>
    <w:p w:rsidR="0064318B" w:rsidRPr="0064318B" w:rsidRDefault="0064318B" w:rsidP="0064318B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64318B" w:rsidRPr="0064318B" w:rsidRDefault="0064318B" w:rsidP="0064318B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64318B" w:rsidRPr="0064318B" w:rsidRDefault="0064318B" w:rsidP="0064318B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64318B" w:rsidRPr="0064318B" w:rsidRDefault="0064318B" w:rsidP="0064318B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64318B" w:rsidRPr="0064318B" w:rsidRDefault="0064318B" w:rsidP="0064318B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r-HR"/>
        </w:rPr>
      </w:pPr>
      <w:r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64318B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64318B">
        <w:rPr>
          <w:rFonts w:ascii="Times New Roman" w:eastAsia="Times New Roman" w:hAnsi="Times New Roman" w:cs="Times New Roman"/>
          <w:b/>
          <w:sz w:val="20"/>
          <w:szCs w:val="20"/>
          <w:lang w:eastAsia="hr-HR"/>
        </w:rPr>
        <w:t>GRADONAČELNIK</w:t>
      </w:r>
    </w:p>
    <w:p w:rsidR="004D4685" w:rsidRDefault="0064318B" w:rsidP="0064318B">
      <w:pPr>
        <w:rPr>
          <w:rFonts w:ascii="Times New Roman" w:eastAsia="Times New Roman" w:hAnsi="Times New Roman" w:cs="Times New Roman"/>
          <w:b/>
          <w:sz w:val="20"/>
          <w:szCs w:val="20"/>
          <w:lang w:eastAsia="hr-HR"/>
        </w:rPr>
      </w:pPr>
      <w:r w:rsidRPr="0064318B">
        <w:rPr>
          <w:rFonts w:ascii="Times New Roman" w:eastAsia="Times New Roman" w:hAnsi="Times New Roman" w:cs="Times New Roman"/>
          <w:b/>
          <w:sz w:val="20"/>
          <w:szCs w:val="20"/>
          <w:lang w:eastAsia="hr-HR"/>
        </w:rPr>
        <w:tab/>
      </w:r>
      <w:r w:rsidRPr="0064318B">
        <w:rPr>
          <w:rFonts w:ascii="Times New Roman" w:eastAsia="Times New Roman" w:hAnsi="Times New Roman" w:cs="Times New Roman"/>
          <w:b/>
          <w:sz w:val="20"/>
          <w:szCs w:val="20"/>
          <w:lang w:eastAsia="hr-HR"/>
        </w:rPr>
        <w:tab/>
      </w:r>
      <w:r w:rsidRPr="0064318B">
        <w:rPr>
          <w:rFonts w:ascii="Times New Roman" w:eastAsia="Times New Roman" w:hAnsi="Times New Roman" w:cs="Times New Roman"/>
          <w:b/>
          <w:sz w:val="20"/>
          <w:szCs w:val="20"/>
          <w:lang w:eastAsia="hr-HR"/>
        </w:rPr>
        <w:tab/>
      </w:r>
    </w:p>
    <w:p w:rsidR="004D4685" w:rsidRDefault="004D4685" w:rsidP="0064318B">
      <w:pPr>
        <w:rPr>
          <w:rFonts w:ascii="Times New Roman" w:eastAsia="Times New Roman" w:hAnsi="Times New Roman" w:cs="Times New Roman"/>
          <w:b/>
          <w:sz w:val="20"/>
          <w:szCs w:val="20"/>
          <w:lang w:eastAsia="hr-HR"/>
        </w:rPr>
      </w:pPr>
    </w:p>
    <w:p w:rsidR="004D4685" w:rsidRPr="004D4685" w:rsidRDefault="004D4685" w:rsidP="0064318B">
      <w:pPr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hr-HR"/>
        </w:rPr>
        <w:tab/>
        <w:t xml:space="preserve">Napomena: </w:t>
      </w:r>
      <w:r w:rsidRPr="004D4685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objavljeno u </w:t>
      </w:r>
      <w:proofErr w:type="spellStart"/>
      <w:r w:rsidRPr="004D4685">
        <w:rPr>
          <w:rFonts w:ascii="Times New Roman" w:eastAsia="Times New Roman" w:hAnsi="Times New Roman" w:cs="Times New Roman"/>
          <w:sz w:val="20"/>
          <w:szCs w:val="20"/>
          <w:lang w:eastAsia="hr-HR"/>
        </w:rPr>
        <w:t>VGdanas</w:t>
      </w:r>
      <w:proofErr w:type="spellEnd"/>
      <w:r w:rsidRPr="004D4685">
        <w:rPr>
          <w:rFonts w:ascii="Times New Roman" w:eastAsia="Times New Roman" w:hAnsi="Times New Roman" w:cs="Times New Roman"/>
          <w:sz w:val="20"/>
          <w:szCs w:val="20"/>
          <w:lang w:eastAsia="hr-HR"/>
        </w:rPr>
        <w:t>, broj 201, od 19.11.2021. godine</w:t>
      </w:r>
    </w:p>
    <w:p w:rsidR="004D4685" w:rsidRDefault="004D4685" w:rsidP="0064318B">
      <w:pPr>
        <w:rPr>
          <w:rFonts w:ascii="Times New Roman" w:eastAsia="Times New Roman" w:hAnsi="Times New Roman" w:cs="Times New Roman"/>
          <w:b/>
          <w:sz w:val="20"/>
          <w:szCs w:val="20"/>
          <w:lang w:eastAsia="hr-HR"/>
        </w:rPr>
      </w:pPr>
    </w:p>
    <w:p w:rsidR="004D4685" w:rsidRDefault="004D4685" w:rsidP="0064318B">
      <w:pPr>
        <w:rPr>
          <w:rFonts w:ascii="Times New Roman" w:eastAsia="Times New Roman" w:hAnsi="Times New Roman" w:cs="Times New Roman"/>
          <w:b/>
          <w:sz w:val="20"/>
          <w:szCs w:val="20"/>
          <w:lang w:eastAsia="hr-HR"/>
        </w:rPr>
      </w:pPr>
    </w:p>
    <w:p w:rsidR="004D4685" w:rsidRPr="002533A7" w:rsidRDefault="0064318B" w:rsidP="004D4685">
      <w:pPr>
        <w:jc w:val="both"/>
      </w:pPr>
      <w:r w:rsidRPr="0064318B">
        <w:rPr>
          <w:rFonts w:ascii="Times New Roman" w:eastAsia="Times New Roman" w:hAnsi="Times New Roman" w:cs="Times New Roman"/>
          <w:b/>
          <w:sz w:val="20"/>
          <w:szCs w:val="20"/>
          <w:lang w:eastAsia="hr-HR"/>
        </w:rPr>
        <w:tab/>
      </w:r>
      <w:r w:rsidRPr="0064318B">
        <w:rPr>
          <w:rFonts w:ascii="Times New Roman" w:eastAsia="Times New Roman" w:hAnsi="Times New Roman" w:cs="Times New Roman"/>
          <w:b/>
          <w:sz w:val="20"/>
          <w:szCs w:val="20"/>
          <w:lang w:eastAsia="hr-HR"/>
        </w:rPr>
        <w:tab/>
      </w:r>
      <w:r w:rsidRPr="0064318B">
        <w:rPr>
          <w:rFonts w:ascii="Times New Roman" w:eastAsia="Times New Roman" w:hAnsi="Times New Roman" w:cs="Times New Roman"/>
          <w:b/>
          <w:sz w:val="20"/>
          <w:szCs w:val="20"/>
          <w:lang w:eastAsia="hr-HR"/>
        </w:rPr>
        <w:tab/>
      </w:r>
      <w:r w:rsidRPr="0064318B">
        <w:rPr>
          <w:rFonts w:ascii="Times New Roman" w:eastAsia="Times New Roman" w:hAnsi="Times New Roman" w:cs="Times New Roman"/>
          <w:b/>
          <w:sz w:val="20"/>
          <w:szCs w:val="20"/>
          <w:lang w:eastAsia="hr-HR"/>
        </w:rPr>
        <w:tab/>
      </w:r>
      <w:r w:rsidRPr="0064318B">
        <w:rPr>
          <w:rFonts w:ascii="Times New Roman" w:eastAsia="Times New Roman" w:hAnsi="Times New Roman" w:cs="Times New Roman"/>
          <w:b/>
          <w:sz w:val="20"/>
          <w:szCs w:val="20"/>
          <w:lang w:eastAsia="hr-HR"/>
        </w:rPr>
        <w:tab/>
      </w:r>
      <w:bookmarkStart w:id="0" w:name="_GoBack"/>
      <w:bookmarkEnd w:id="0"/>
    </w:p>
    <w:p w:rsidR="004742C2" w:rsidRDefault="0064318B" w:rsidP="0064318B">
      <w:r w:rsidRPr="0064318B">
        <w:rPr>
          <w:rFonts w:ascii="Times New Roman" w:eastAsia="Times New Roman" w:hAnsi="Times New Roman" w:cs="Times New Roman"/>
          <w:b/>
          <w:sz w:val="20"/>
          <w:szCs w:val="20"/>
          <w:lang w:eastAsia="hr-HR"/>
        </w:rPr>
        <w:tab/>
      </w:r>
      <w:r w:rsidRPr="0064318B">
        <w:rPr>
          <w:rFonts w:ascii="Times New Roman" w:eastAsia="Times New Roman" w:hAnsi="Times New Roman" w:cs="Times New Roman"/>
          <w:b/>
          <w:sz w:val="20"/>
          <w:szCs w:val="20"/>
          <w:lang w:eastAsia="hr-HR"/>
        </w:rPr>
        <w:tab/>
      </w:r>
    </w:p>
    <w:sectPr w:rsidR="004742C2" w:rsidSect="004742C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8F5870"/>
    <w:multiLevelType w:val="hybridMultilevel"/>
    <w:tmpl w:val="1A22CFAE"/>
    <w:lvl w:ilvl="0" w:tplc="2A6004F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AA5650C"/>
    <w:multiLevelType w:val="hybridMultilevel"/>
    <w:tmpl w:val="D576A746"/>
    <w:lvl w:ilvl="0" w:tplc="2FEAA6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2C2"/>
    <w:rsid w:val="000B2C9E"/>
    <w:rsid w:val="000B7C5C"/>
    <w:rsid w:val="0010798B"/>
    <w:rsid w:val="00184066"/>
    <w:rsid w:val="0027223B"/>
    <w:rsid w:val="004742C2"/>
    <w:rsid w:val="004D4685"/>
    <w:rsid w:val="004F261A"/>
    <w:rsid w:val="00521AD3"/>
    <w:rsid w:val="005B3CDB"/>
    <w:rsid w:val="0064318B"/>
    <w:rsid w:val="006E0AC9"/>
    <w:rsid w:val="00B82E6B"/>
    <w:rsid w:val="00BC2D90"/>
    <w:rsid w:val="00BD4C6F"/>
    <w:rsid w:val="00BE79AF"/>
    <w:rsid w:val="00C64773"/>
    <w:rsid w:val="00D67350"/>
    <w:rsid w:val="00E02700"/>
    <w:rsid w:val="00F22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CEED41B"/>
  <w15:chartTrackingRefBased/>
  <w15:docId w15:val="{5D6E6A77-CCE9-4A6C-AA1F-F0B700B50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C2D90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0B7C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7C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1380</Words>
  <Characters>7870</Characters>
  <Application>Microsoft Office Word</Application>
  <DocSecurity>0</DocSecurity>
  <Lines>65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Branko</cp:lastModifiedBy>
  <cp:revision>2</cp:revision>
  <cp:lastPrinted>2021-11-03T09:31:00Z</cp:lastPrinted>
  <dcterms:created xsi:type="dcterms:W3CDTF">2021-11-22T09:37:00Z</dcterms:created>
  <dcterms:modified xsi:type="dcterms:W3CDTF">2021-11-22T09:37:00Z</dcterms:modified>
</cp:coreProperties>
</file>